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LineNumbers/>
        <w:adjustRightInd/>
        <w:snapToGrid/>
        <w:spacing w:after="0" w:line="480" w:lineRule="auto"/>
        <w:jc w:val="both"/>
        <w:rPr>
          <w:rFonts w:hint="eastAsia" w:ascii="Times New Roman" w:hAnsi="Times New Roman" w:eastAsia="宋体" w:cs="Times New Roman"/>
          <w:kern w:val="2"/>
          <w:sz w:val="24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24"/>
        </w:rPr>
        <w:t>Appendix table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3</w:t>
      </w:r>
      <w:r>
        <w:rPr>
          <w:rFonts w:ascii="Times New Roman" w:hAnsi="Times New Roman" w:eastAsia="宋体" w:cs="Times New Roman"/>
          <w:kern w:val="2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4"/>
        </w:rPr>
        <w:t>Leading causes of death for</w:t>
      </w:r>
      <w:r>
        <w:rPr>
          <w:rFonts w:ascii="Times New Roman" w:hAnsi="Times New Roman" w:eastAsia="宋体" w:cs="Times New Roman"/>
          <w:kern w:val="2"/>
          <w:sz w:val="24"/>
        </w:rPr>
        <w:t xml:space="preserve"> children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by age group</w:t>
      </w:r>
      <w:r>
        <w:rPr>
          <w:rFonts w:ascii="Times New Roman" w:hAnsi="Times New Roman" w:eastAsia="宋体" w:cs="Times New Roman"/>
          <w:kern w:val="2"/>
          <w:sz w:val="24"/>
        </w:rPr>
        <w:t xml:space="preserve"> in 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Guangzhou in </w:t>
      </w:r>
      <w:r>
        <w:rPr>
          <w:rFonts w:ascii="Times New Roman" w:hAnsi="Times New Roman" w:eastAsia="宋体" w:cs="Times New Roman"/>
          <w:kern w:val="2"/>
          <w:sz w:val="24"/>
        </w:rPr>
        <w:t>201</w:t>
      </w:r>
      <w:r>
        <w:rPr>
          <w:rFonts w:hint="eastAsia" w:ascii="Times New Roman" w:hAnsi="Times New Roman" w:eastAsia="宋体" w:cs="Times New Roman"/>
          <w:kern w:val="2"/>
          <w:sz w:val="24"/>
        </w:rPr>
        <w:t>8</w:t>
      </w:r>
      <w:r>
        <w:rPr>
          <w:rFonts w:hint="eastAsia" w:ascii="Times New Roman" w:hAnsi="Times New Roman" w:eastAsia="宋体" w:cs="Times New Roman"/>
          <w:kern w:val="2"/>
          <w:sz w:val="24"/>
          <w:lang w:val="en-US" w:eastAsia="zh-CN"/>
        </w:rPr>
        <w:t>.</w:t>
      </w:r>
    </w:p>
    <w:tbl>
      <w:tblPr>
        <w:tblStyle w:val="2"/>
        <w:tblpPr w:leftFromText="180" w:rightFromText="180" w:vertAnchor="text" w:horzAnchor="page" w:tblpX="777" w:tblpY="144"/>
        <w:tblOverlap w:val="never"/>
        <w:tblW w:w="106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&lt;1 years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1-4 years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5-9 years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10-14 years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Death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CMNN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213(57%)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196.4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22(21%)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3.8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7(15%)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NCDs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127(34%)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117.1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43(41%)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7.4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31(65%)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5.6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24(56%)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Injuries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21(6%)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38(36%)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9(19%)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13(30%)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Ill defined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9.2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Leading causes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Maternal and perinatal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179(48%)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Congenital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84(23%)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Pneumonia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11(10%)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5(10%)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7.4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14(13%)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10(21%)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Neurological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9.2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Asphyxia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16(4%)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DEI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5.5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Cardiovascular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7.4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5(10%)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Drowning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13(12%)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371(100%)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105(100%)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8.7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10.5 </w:t>
            </w:r>
          </w:p>
        </w:tc>
      </w:tr>
    </w:tbl>
    <w:p>
      <w:pPr>
        <w:widowControl w:val="0"/>
        <w:suppressLineNumbers/>
        <w:adjustRightInd/>
        <w:snapToGrid/>
        <w:spacing w:after="0" w:line="480" w:lineRule="auto"/>
        <w:jc w:val="both"/>
        <w:rPr>
          <w:rFonts w:hint="eastAsia" w:ascii="Times New Roman" w:hAnsi="Times New Roman" w:eastAsia="微软雅黑" w:cs="Times New Roman"/>
          <w:kern w:val="2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CMNN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communicable, maternal, neonatal, and nutritional diseases</w:t>
      </w:r>
      <w:r>
        <w:rPr>
          <w:rFonts w:hint="eastAsia"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NCDs</w:t>
      </w:r>
      <w:r>
        <w:rPr>
          <w:rFonts w:hint="eastAsia" w:ascii="Times New Roman" w:hAnsi="Times New Roman" w:cs="Times New Roman"/>
          <w:sz w:val="24"/>
          <w:szCs w:val="24"/>
        </w:rPr>
        <w:t>, n</w:t>
      </w:r>
      <w:r>
        <w:rPr>
          <w:rFonts w:ascii="Times New Roman" w:hAnsi="Times New Roman" w:cs="Times New Roman"/>
          <w:sz w:val="24"/>
          <w:szCs w:val="24"/>
        </w:rPr>
        <w:t>on-</w:t>
      </w:r>
      <w:r>
        <w:rPr>
          <w:rFonts w:hint="eastAsia"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ommunicable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diseases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  <w:lang w:val="en-US" w:eastAsia="zh-CN"/>
        </w:rPr>
        <w:t xml:space="preserve">; DEI, </w:t>
      </w:r>
      <w:r>
        <w:rPr>
          <w:rFonts w:ascii="Times New Roman" w:hAnsi="Times New Roman" w:cs="Times New Roman"/>
          <w:color w:val="000000"/>
        </w:rPr>
        <w:t xml:space="preserve">Diabetes, Endocrine, and </w:t>
      </w:r>
      <w:r>
        <w:rPr>
          <w:rFonts w:hint="eastAsia"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</w:rPr>
        <w:t>mmune disorders</w:t>
      </w:r>
      <w:r>
        <w:rPr>
          <w:rFonts w:hint="eastAsia" w:ascii="Times New Roman" w:hAnsi="Times New Roman" w:cs="Times New Roman"/>
          <w:color w:val="000000"/>
          <w:lang w:val="en-US" w:eastAsia="zh-CN"/>
        </w:rPr>
        <w:t>.</w:t>
      </w: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/>
        <w:suppressLineNumbers/>
        <w:autoSpaceDE w:val="0"/>
        <w:autoSpaceDN w:val="0"/>
        <w:adjustRightInd w:val="0"/>
        <w:snapToGrid/>
        <w:spacing w:after="0" w:line="240" w:lineRule="auto"/>
        <w:jc w:val="both"/>
        <w:rPr>
          <w:rFonts w:ascii="Times New Roman" w:hAnsi="Times New Roman" w:eastAsia="宋体" w:cs="Times New Roman"/>
          <w:b/>
          <w:color w:val="000000"/>
          <w:kern w:val="2"/>
          <w:sz w:val="28"/>
          <w:szCs w:val="28"/>
        </w:rPr>
      </w:pP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6FD8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徐笑寒</cp:lastModifiedBy>
  <dcterms:modified xsi:type="dcterms:W3CDTF">2020-03-31T07:06:51Z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